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878" w:rsidRPr="00C94E2F" w:rsidRDefault="00EC6B76" w:rsidP="00C94E2F">
      <w:pPr>
        <w:rPr>
          <w:b/>
          <w:bCs/>
          <w:lang w:val="en-US"/>
        </w:rPr>
      </w:pPr>
      <w:r w:rsidRPr="00C94E2F">
        <w:rPr>
          <w:b/>
          <w:bCs/>
          <w:lang w:val="en-US"/>
        </w:rPr>
        <w:t xml:space="preserve">Attachment C – </w:t>
      </w:r>
      <w:r w:rsidR="00C94E2F" w:rsidRPr="00C94E2F">
        <w:rPr>
          <w:b/>
          <w:bCs/>
          <w:lang w:val="en-US"/>
        </w:rPr>
        <w:t xml:space="preserve">Seniors SEPP </w:t>
      </w:r>
      <w:r w:rsidRPr="00C94E2F">
        <w:rPr>
          <w:b/>
          <w:bCs/>
          <w:lang w:val="en-US"/>
        </w:rPr>
        <w:t>assessment compliance table</w:t>
      </w:r>
    </w:p>
    <w:p w:rsidR="00EC6B76" w:rsidRDefault="00EC6B76" w:rsidP="00C94E2F">
      <w:r>
        <w:t xml:space="preserve">Permissibility for the development is gained via the </w:t>
      </w:r>
      <w:r w:rsidRPr="00C94E2F">
        <w:rPr>
          <w:i/>
        </w:rPr>
        <w:t>Lake Macquarie Local Environment Plan</w:t>
      </w:r>
      <w:r w:rsidR="00C94E2F" w:rsidRPr="00C94E2F">
        <w:rPr>
          <w:i/>
        </w:rPr>
        <w:t xml:space="preserve"> 2014</w:t>
      </w:r>
      <w:r>
        <w:t>, and not via the SEPP. The SEPP is used for guidance only.</w:t>
      </w:r>
    </w:p>
    <w:tbl>
      <w:tblPr>
        <w:tblStyle w:val="TableGrid"/>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8505"/>
        <w:gridCol w:w="1843"/>
      </w:tblGrid>
      <w:tr w:rsidR="00EC6B76" w:rsidTr="005A2916">
        <w:tc>
          <w:tcPr>
            <w:tcW w:w="3544" w:type="dxa"/>
            <w:shd w:val="clear" w:color="auto" w:fill="BFBFBF" w:themeFill="background1" w:themeFillShade="BF"/>
          </w:tcPr>
          <w:p w:rsidR="00EC6B76" w:rsidRPr="00EC6B76" w:rsidRDefault="00EC6B76" w:rsidP="00C94E2F">
            <w:pPr>
              <w:pStyle w:val="FigureCaption"/>
              <w:spacing w:before="0" w:after="160"/>
              <w:ind w:left="0"/>
              <w:rPr>
                <w:rFonts w:ascii="Arial" w:hAnsi="Arial" w:cs="Arial"/>
                <w:bCs/>
                <w:color w:val="auto"/>
                <w:sz w:val="22"/>
                <w:szCs w:val="22"/>
              </w:rPr>
            </w:pPr>
            <w:r w:rsidRPr="00EC6B76">
              <w:rPr>
                <w:rFonts w:ascii="Arial" w:hAnsi="Arial" w:cs="Arial"/>
                <w:bCs/>
                <w:color w:val="auto"/>
                <w:sz w:val="22"/>
                <w:szCs w:val="22"/>
              </w:rPr>
              <w:t>Control</w:t>
            </w:r>
          </w:p>
        </w:tc>
        <w:tc>
          <w:tcPr>
            <w:tcW w:w="8505" w:type="dxa"/>
            <w:shd w:val="clear" w:color="auto" w:fill="BFBFBF" w:themeFill="background1" w:themeFillShade="BF"/>
          </w:tcPr>
          <w:p w:rsidR="00EC6B76" w:rsidRPr="00EC6B76" w:rsidRDefault="00EC6B76" w:rsidP="00C94E2F">
            <w:pPr>
              <w:pStyle w:val="FigureCaption"/>
              <w:spacing w:before="0" w:after="160"/>
              <w:ind w:left="0"/>
              <w:rPr>
                <w:rFonts w:ascii="Arial" w:hAnsi="Arial" w:cs="Arial"/>
                <w:bCs/>
                <w:color w:val="auto"/>
                <w:sz w:val="22"/>
                <w:szCs w:val="22"/>
              </w:rPr>
            </w:pPr>
            <w:r w:rsidRPr="00EC6B76">
              <w:rPr>
                <w:rFonts w:ascii="Arial" w:hAnsi="Arial" w:cs="Arial"/>
                <w:bCs/>
                <w:color w:val="auto"/>
                <w:sz w:val="22"/>
                <w:szCs w:val="22"/>
              </w:rPr>
              <w:t>Discussion</w:t>
            </w:r>
          </w:p>
        </w:tc>
        <w:tc>
          <w:tcPr>
            <w:tcW w:w="1843" w:type="dxa"/>
            <w:shd w:val="clear" w:color="auto" w:fill="BFBFBF" w:themeFill="background1" w:themeFillShade="BF"/>
          </w:tcPr>
          <w:p w:rsidR="00EC6B76" w:rsidRPr="00EC6B76" w:rsidRDefault="00EC6B76" w:rsidP="00C94E2F">
            <w:pPr>
              <w:pStyle w:val="FigureCaption"/>
              <w:spacing w:before="0" w:after="160"/>
              <w:ind w:left="0"/>
              <w:rPr>
                <w:rFonts w:ascii="Arial" w:hAnsi="Arial" w:cs="Arial"/>
                <w:bCs/>
                <w:color w:val="auto"/>
                <w:sz w:val="22"/>
                <w:szCs w:val="22"/>
              </w:rPr>
            </w:pPr>
            <w:r w:rsidRPr="00EC6B76">
              <w:rPr>
                <w:rFonts w:ascii="Arial" w:hAnsi="Arial" w:cs="Arial"/>
                <w:bCs/>
                <w:color w:val="auto"/>
                <w:sz w:val="22"/>
                <w:szCs w:val="22"/>
              </w:rPr>
              <w:t>Comply</w:t>
            </w:r>
          </w:p>
        </w:tc>
      </w:tr>
      <w:tr w:rsidR="00EC6B76" w:rsidTr="005A2916">
        <w:tc>
          <w:tcPr>
            <w:tcW w:w="3544" w:type="dxa"/>
          </w:tcPr>
          <w:p w:rsidR="00EC6B76" w:rsidRDefault="00EC6B76" w:rsidP="00C94E2F">
            <w:pPr>
              <w:rPr>
                <w:rFonts w:cs="Arial"/>
                <w:szCs w:val="22"/>
              </w:rPr>
            </w:pPr>
            <w:r w:rsidRPr="00614845">
              <w:rPr>
                <w:rFonts w:cs="Arial"/>
                <w:szCs w:val="22"/>
              </w:rPr>
              <w:t>Clause 18</w:t>
            </w:r>
          </w:p>
          <w:p w:rsidR="00C94E2F" w:rsidRPr="00C94E2F" w:rsidRDefault="00C94E2F" w:rsidP="00C94E2F">
            <w:pPr>
              <w:rPr>
                <w:rFonts w:cs="Arial"/>
                <w:szCs w:val="22"/>
              </w:rPr>
            </w:pPr>
            <w:r w:rsidRPr="00614845">
              <w:rPr>
                <w:rFonts w:cs="Arial"/>
                <w:szCs w:val="22"/>
              </w:rPr>
              <w:t>Restriction on occupation of seniors housing allowed under this Chapter</w:t>
            </w:r>
          </w:p>
        </w:tc>
        <w:tc>
          <w:tcPr>
            <w:tcW w:w="8505" w:type="dxa"/>
          </w:tcPr>
          <w:p w:rsidR="00EC6B76" w:rsidRPr="00614845" w:rsidRDefault="00EC6B76" w:rsidP="00C94E2F">
            <w:r w:rsidRPr="00614845">
              <w:rPr>
                <w:rFonts w:cs="Arial"/>
                <w:szCs w:val="22"/>
              </w:rPr>
              <w:t>A condition of consent will restrict the occupation of the development to only Seniors, people who live with Seniors, or staff employed.</w:t>
            </w:r>
          </w:p>
        </w:tc>
        <w:tc>
          <w:tcPr>
            <w:tcW w:w="1843" w:type="dxa"/>
          </w:tcPr>
          <w:p w:rsidR="00EC6B76" w:rsidRDefault="00EC6B76" w:rsidP="00C94E2F">
            <w:pPr>
              <w:jc w:val="center"/>
            </w:pPr>
            <w:r>
              <w:t>Y</w:t>
            </w:r>
          </w:p>
        </w:tc>
      </w:tr>
      <w:tr w:rsidR="00EC6B76" w:rsidTr="005A2916">
        <w:tc>
          <w:tcPr>
            <w:tcW w:w="3544" w:type="dxa"/>
          </w:tcPr>
          <w:p w:rsidR="00EC6B76" w:rsidRDefault="00EC6B76" w:rsidP="00C94E2F">
            <w:pPr>
              <w:rPr>
                <w:rFonts w:cs="Arial"/>
                <w:szCs w:val="22"/>
              </w:rPr>
            </w:pPr>
            <w:r w:rsidRPr="00614845">
              <w:rPr>
                <w:rFonts w:cs="Arial"/>
                <w:szCs w:val="22"/>
              </w:rPr>
              <w:t>Clause 23</w:t>
            </w:r>
          </w:p>
          <w:p w:rsidR="00C94E2F" w:rsidRPr="00C94E2F" w:rsidRDefault="00C94E2F" w:rsidP="00C94E2F">
            <w:pPr>
              <w:rPr>
                <w:rFonts w:cs="Arial"/>
                <w:szCs w:val="22"/>
              </w:rPr>
            </w:pPr>
            <w:r w:rsidRPr="00614845">
              <w:rPr>
                <w:rFonts w:cs="Arial"/>
                <w:szCs w:val="22"/>
              </w:rPr>
              <w:t>Development on land used for the purpose of an existing registered club</w:t>
            </w:r>
          </w:p>
        </w:tc>
        <w:tc>
          <w:tcPr>
            <w:tcW w:w="8505" w:type="dxa"/>
          </w:tcPr>
          <w:p w:rsidR="00EC6B76" w:rsidRPr="00614845" w:rsidRDefault="00C94E2F" w:rsidP="00C94E2F">
            <w:r>
              <w:rPr>
                <w:rFonts w:cs="Arial"/>
                <w:szCs w:val="22"/>
              </w:rPr>
              <w:t>T</w:t>
            </w:r>
            <w:r w:rsidR="00EC6B76" w:rsidRPr="00614845">
              <w:rPr>
                <w:rFonts w:cs="Arial"/>
                <w:szCs w:val="22"/>
              </w:rPr>
              <w:t>he site is not currently a registered club and all buildings on</w:t>
            </w:r>
            <w:r>
              <w:rPr>
                <w:rFonts w:cs="Arial"/>
                <w:szCs w:val="22"/>
              </w:rPr>
              <w:t>-</w:t>
            </w:r>
            <w:r w:rsidR="00EC6B76" w:rsidRPr="00614845">
              <w:rPr>
                <w:rFonts w:cs="Arial"/>
                <w:szCs w:val="22"/>
              </w:rPr>
              <w:t>site will be demolished.</w:t>
            </w:r>
          </w:p>
        </w:tc>
        <w:tc>
          <w:tcPr>
            <w:tcW w:w="1843" w:type="dxa"/>
          </w:tcPr>
          <w:p w:rsidR="00EC6B76" w:rsidRDefault="00EC6B76" w:rsidP="00C94E2F">
            <w:pPr>
              <w:jc w:val="center"/>
            </w:pPr>
            <w:r>
              <w:t>N/A</w:t>
            </w:r>
          </w:p>
        </w:tc>
      </w:tr>
      <w:tr w:rsidR="00EC6B76" w:rsidTr="005A2916">
        <w:tc>
          <w:tcPr>
            <w:tcW w:w="3544" w:type="dxa"/>
          </w:tcPr>
          <w:p w:rsidR="00EC6B76" w:rsidRDefault="00EC6B76" w:rsidP="00C94E2F">
            <w:pPr>
              <w:rPr>
                <w:rFonts w:cs="Arial"/>
                <w:szCs w:val="22"/>
              </w:rPr>
            </w:pPr>
            <w:r w:rsidRPr="00614845">
              <w:rPr>
                <w:rFonts w:cs="Arial"/>
                <w:szCs w:val="22"/>
              </w:rPr>
              <w:t>Clause 26</w:t>
            </w:r>
          </w:p>
          <w:p w:rsidR="00C94E2F" w:rsidRPr="00C94E2F" w:rsidRDefault="00C94E2F" w:rsidP="00C94E2F">
            <w:pPr>
              <w:rPr>
                <w:rFonts w:cs="Arial"/>
                <w:szCs w:val="22"/>
              </w:rPr>
            </w:pPr>
            <w:r w:rsidRPr="00614845">
              <w:rPr>
                <w:rFonts w:cs="Arial"/>
                <w:szCs w:val="22"/>
              </w:rPr>
              <w:t>Location and access to facilities</w:t>
            </w:r>
          </w:p>
        </w:tc>
        <w:tc>
          <w:tcPr>
            <w:tcW w:w="8505" w:type="dxa"/>
          </w:tcPr>
          <w:p w:rsidR="00EC6B76" w:rsidRPr="00614845" w:rsidRDefault="00C94E2F" w:rsidP="00C94E2F">
            <w:r>
              <w:rPr>
                <w:rFonts w:cs="Arial"/>
                <w:szCs w:val="22"/>
              </w:rPr>
              <w:t>T</w:t>
            </w:r>
            <w:r w:rsidR="00EC6B76" w:rsidRPr="00614845">
              <w:rPr>
                <w:rFonts w:cs="Arial"/>
                <w:szCs w:val="22"/>
              </w:rPr>
              <w:t>he application provides written evidence of access to the required facilities. Belmont Town Centre is located within 400m of the site with a full suite of services.</w:t>
            </w:r>
          </w:p>
        </w:tc>
        <w:tc>
          <w:tcPr>
            <w:tcW w:w="1843" w:type="dxa"/>
          </w:tcPr>
          <w:p w:rsidR="00EC6B76" w:rsidRDefault="00EC6B76" w:rsidP="00C94E2F">
            <w:pPr>
              <w:jc w:val="center"/>
            </w:pPr>
            <w:r>
              <w:t>Y</w:t>
            </w:r>
          </w:p>
        </w:tc>
      </w:tr>
      <w:tr w:rsidR="00EC6B76" w:rsidTr="005A2916">
        <w:tc>
          <w:tcPr>
            <w:tcW w:w="3544" w:type="dxa"/>
          </w:tcPr>
          <w:p w:rsidR="00EC6B76" w:rsidRDefault="00EC6B76" w:rsidP="00C94E2F">
            <w:pPr>
              <w:rPr>
                <w:rFonts w:cs="Arial"/>
                <w:szCs w:val="22"/>
              </w:rPr>
            </w:pPr>
            <w:r w:rsidRPr="00614845">
              <w:rPr>
                <w:rFonts w:cs="Arial"/>
                <w:szCs w:val="22"/>
              </w:rPr>
              <w:t>Clause 28</w:t>
            </w:r>
          </w:p>
          <w:p w:rsidR="00C94E2F" w:rsidRPr="00C94E2F" w:rsidRDefault="00C94E2F" w:rsidP="00C94E2F">
            <w:pPr>
              <w:rPr>
                <w:rFonts w:cs="Arial"/>
                <w:szCs w:val="22"/>
              </w:rPr>
            </w:pPr>
            <w:r w:rsidRPr="00614845">
              <w:rPr>
                <w:rFonts w:cs="Arial"/>
                <w:szCs w:val="22"/>
              </w:rPr>
              <w:t xml:space="preserve">Water and </w:t>
            </w:r>
            <w:r>
              <w:rPr>
                <w:rFonts w:cs="Arial"/>
                <w:szCs w:val="22"/>
              </w:rPr>
              <w:t>s</w:t>
            </w:r>
            <w:r w:rsidRPr="00614845">
              <w:rPr>
                <w:rFonts w:cs="Arial"/>
                <w:szCs w:val="22"/>
              </w:rPr>
              <w:t>ewer</w:t>
            </w:r>
          </w:p>
        </w:tc>
        <w:tc>
          <w:tcPr>
            <w:tcW w:w="8505" w:type="dxa"/>
          </w:tcPr>
          <w:p w:rsidR="00EC6B76" w:rsidRPr="00614845" w:rsidRDefault="00EC6B76" w:rsidP="00C94E2F">
            <w:r w:rsidRPr="00614845">
              <w:rPr>
                <w:rFonts w:cs="Arial"/>
                <w:szCs w:val="22"/>
              </w:rPr>
              <w:t>Access to Hunter Water’s reticulated water and sewer connections has been confirmed.</w:t>
            </w:r>
          </w:p>
        </w:tc>
        <w:tc>
          <w:tcPr>
            <w:tcW w:w="1843" w:type="dxa"/>
          </w:tcPr>
          <w:p w:rsidR="00EC6B76" w:rsidRDefault="00EC6B76" w:rsidP="00C94E2F">
            <w:pPr>
              <w:jc w:val="center"/>
            </w:pPr>
            <w:r>
              <w:t>Y</w:t>
            </w:r>
          </w:p>
        </w:tc>
      </w:tr>
      <w:tr w:rsidR="00EC6B76" w:rsidTr="005A2916">
        <w:tc>
          <w:tcPr>
            <w:tcW w:w="3544" w:type="dxa"/>
          </w:tcPr>
          <w:p w:rsidR="00EC6B76" w:rsidRDefault="00EC6B76" w:rsidP="00C94E2F">
            <w:pPr>
              <w:rPr>
                <w:rFonts w:cs="Arial"/>
                <w:szCs w:val="22"/>
              </w:rPr>
            </w:pPr>
            <w:r w:rsidRPr="00614845">
              <w:rPr>
                <w:rFonts w:cs="Arial"/>
                <w:szCs w:val="22"/>
              </w:rPr>
              <w:t>Clause 29</w:t>
            </w:r>
          </w:p>
          <w:p w:rsidR="00C94E2F" w:rsidRPr="00614845" w:rsidRDefault="00C94E2F" w:rsidP="00C94E2F">
            <w:r w:rsidRPr="00614845">
              <w:rPr>
                <w:rFonts w:cs="Arial"/>
                <w:szCs w:val="22"/>
              </w:rPr>
              <w:t>Consent authority to consider certain site compatibility criteria for development applications</w:t>
            </w:r>
          </w:p>
        </w:tc>
        <w:tc>
          <w:tcPr>
            <w:tcW w:w="8505" w:type="dxa"/>
          </w:tcPr>
          <w:p w:rsidR="00EC6B76" w:rsidRPr="00C94E2F" w:rsidRDefault="00C94E2F" w:rsidP="00C94E2F">
            <w:pPr>
              <w:pStyle w:val="FigureCaption"/>
              <w:spacing w:before="0" w:after="160"/>
              <w:ind w:left="0"/>
              <w:jc w:val="left"/>
              <w:rPr>
                <w:rFonts w:ascii="Arial" w:hAnsi="Arial" w:cs="Arial"/>
                <w:color w:val="auto"/>
                <w:sz w:val="22"/>
                <w:szCs w:val="22"/>
              </w:rPr>
            </w:pPr>
            <w:r w:rsidRPr="00C94E2F">
              <w:rPr>
                <w:rFonts w:ascii="Arial" w:hAnsi="Arial" w:cs="Arial"/>
                <w:color w:val="auto"/>
                <w:sz w:val="22"/>
                <w:szCs w:val="22"/>
              </w:rPr>
              <w:t>N</w:t>
            </w:r>
            <w:r w:rsidR="00EC6B76" w:rsidRPr="00C94E2F">
              <w:rPr>
                <w:rFonts w:ascii="Arial" w:hAnsi="Arial" w:cs="Arial"/>
                <w:color w:val="auto"/>
                <w:sz w:val="22"/>
                <w:szCs w:val="22"/>
              </w:rPr>
              <w:t>atural environment</w:t>
            </w:r>
          </w:p>
          <w:p w:rsidR="00EC6B76" w:rsidRPr="00614845" w:rsidRDefault="00EC6B76" w:rsidP="00C94E2F">
            <w:pPr>
              <w:pStyle w:val="FigureCaption"/>
              <w:spacing w:before="0" w:after="160"/>
              <w:ind w:left="0"/>
              <w:jc w:val="left"/>
              <w:rPr>
                <w:rFonts w:ascii="Arial" w:hAnsi="Arial" w:cs="Arial"/>
                <w:b w:val="0"/>
                <w:color w:val="auto"/>
                <w:sz w:val="22"/>
                <w:szCs w:val="22"/>
              </w:rPr>
            </w:pPr>
            <w:r w:rsidRPr="00614845">
              <w:rPr>
                <w:rFonts w:ascii="Arial" w:hAnsi="Arial" w:cs="Arial"/>
                <w:b w:val="0"/>
                <w:color w:val="auto"/>
                <w:sz w:val="22"/>
                <w:szCs w:val="22"/>
              </w:rPr>
              <w:t>The development is compatibl</w:t>
            </w:r>
            <w:bookmarkStart w:id="0" w:name="_GoBack"/>
            <w:bookmarkEnd w:id="0"/>
            <w:r w:rsidRPr="00614845">
              <w:rPr>
                <w:rFonts w:ascii="Arial" w:hAnsi="Arial" w:cs="Arial"/>
                <w:b w:val="0"/>
                <w:color w:val="auto"/>
                <w:sz w:val="22"/>
                <w:szCs w:val="22"/>
              </w:rPr>
              <w:t>e with the local natural environment. The only matter of concern is stormwater quality, which has been appropriately addressed.</w:t>
            </w:r>
          </w:p>
          <w:p w:rsidR="00EC6B76" w:rsidRPr="00C94E2F" w:rsidRDefault="00C94E2F" w:rsidP="00C94E2F">
            <w:pPr>
              <w:pStyle w:val="FigureCaption"/>
              <w:spacing w:before="0" w:after="160"/>
              <w:ind w:left="0"/>
              <w:jc w:val="left"/>
              <w:rPr>
                <w:rFonts w:ascii="Arial" w:hAnsi="Arial" w:cs="Arial"/>
                <w:color w:val="auto"/>
                <w:sz w:val="22"/>
                <w:szCs w:val="22"/>
              </w:rPr>
            </w:pPr>
            <w:r w:rsidRPr="00C94E2F">
              <w:rPr>
                <w:rFonts w:ascii="Arial" w:hAnsi="Arial" w:cs="Arial"/>
                <w:color w:val="auto"/>
                <w:sz w:val="22"/>
                <w:szCs w:val="22"/>
              </w:rPr>
              <w:t>S</w:t>
            </w:r>
            <w:r w:rsidR="00EC6B76" w:rsidRPr="00C94E2F">
              <w:rPr>
                <w:rFonts w:ascii="Arial" w:hAnsi="Arial" w:cs="Arial"/>
                <w:color w:val="auto"/>
                <w:sz w:val="22"/>
                <w:szCs w:val="22"/>
              </w:rPr>
              <w:t>ervices and infrastructure</w:t>
            </w:r>
          </w:p>
          <w:p w:rsidR="00C94E2F" w:rsidRDefault="00EC6B76" w:rsidP="00C94E2F">
            <w:pPr>
              <w:pStyle w:val="FigureCaption"/>
              <w:spacing w:before="0" w:after="160"/>
              <w:ind w:left="0"/>
              <w:jc w:val="left"/>
              <w:rPr>
                <w:rFonts w:ascii="Arial" w:hAnsi="Arial" w:cs="Arial"/>
                <w:b w:val="0"/>
                <w:color w:val="auto"/>
                <w:sz w:val="22"/>
                <w:szCs w:val="22"/>
              </w:rPr>
            </w:pPr>
            <w:r w:rsidRPr="00614845">
              <w:rPr>
                <w:rFonts w:ascii="Arial" w:hAnsi="Arial" w:cs="Arial"/>
                <w:b w:val="0"/>
                <w:color w:val="auto"/>
                <w:sz w:val="22"/>
                <w:szCs w:val="22"/>
              </w:rPr>
              <w:t xml:space="preserve">The site is walking distance to the </w:t>
            </w:r>
            <w:r w:rsidR="00C94E2F">
              <w:rPr>
                <w:rFonts w:ascii="Arial" w:hAnsi="Arial" w:cs="Arial"/>
                <w:b w:val="0"/>
                <w:color w:val="auto"/>
                <w:sz w:val="22"/>
                <w:szCs w:val="22"/>
              </w:rPr>
              <w:t>Belmont T</w:t>
            </w:r>
            <w:r w:rsidRPr="00614845">
              <w:rPr>
                <w:rFonts w:ascii="Arial" w:hAnsi="Arial" w:cs="Arial"/>
                <w:b w:val="0"/>
                <w:color w:val="auto"/>
                <w:sz w:val="22"/>
                <w:szCs w:val="22"/>
              </w:rPr>
              <w:t xml:space="preserve">own </w:t>
            </w:r>
            <w:r w:rsidR="00C94E2F">
              <w:rPr>
                <w:rFonts w:ascii="Arial" w:hAnsi="Arial" w:cs="Arial"/>
                <w:b w:val="0"/>
                <w:color w:val="auto"/>
                <w:sz w:val="22"/>
                <w:szCs w:val="22"/>
              </w:rPr>
              <w:t>C</w:t>
            </w:r>
            <w:r w:rsidRPr="00614845">
              <w:rPr>
                <w:rFonts w:ascii="Arial" w:hAnsi="Arial" w:cs="Arial"/>
                <w:b w:val="0"/>
                <w:color w:val="auto"/>
                <w:sz w:val="22"/>
                <w:szCs w:val="22"/>
              </w:rPr>
              <w:t xml:space="preserve">entre, which provides a full suite of services. </w:t>
            </w:r>
          </w:p>
          <w:p w:rsidR="00C94E2F" w:rsidRDefault="00C94E2F" w:rsidP="00C94E2F">
            <w:pPr>
              <w:pStyle w:val="FigureCaption"/>
              <w:spacing w:before="0" w:after="160"/>
              <w:ind w:left="0"/>
              <w:jc w:val="left"/>
              <w:rPr>
                <w:rFonts w:ascii="Arial" w:hAnsi="Arial" w:cs="Arial"/>
                <w:b w:val="0"/>
                <w:color w:val="auto"/>
                <w:sz w:val="22"/>
                <w:szCs w:val="22"/>
              </w:rPr>
            </w:pPr>
            <w:r>
              <w:rPr>
                <w:rFonts w:ascii="Arial" w:hAnsi="Arial" w:cs="Arial"/>
                <w:b w:val="0"/>
                <w:color w:val="auto"/>
                <w:sz w:val="22"/>
                <w:szCs w:val="22"/>
              </w:rPr>
              <w:lastRenderedPageBreak/>
              <w:t>Further, b</w:t>
            </w:r>
            <w:r w:rsidR="00EC6B76" w:rsidRPr="00614845">
              <w:rPr>
                <w:rFonts w:ascii="Arial" w:hAnsi="Arial" w:cs="Arial"/>
                <w:b w:val="0"/>
                <w:color w:val="auto"/>
                <w:sz w:val="22"/>
                <w:szCs w:val="22"/>
              </w:rPr>
              <w:t xml:space="preserve">us routes are readily available, </w:t>
            </w:r>
            <w:r>
              <w:rPr>
                <w:rFonts w:ascii="Arial" w:hAnsi="Arial" w:cs="Arial"/>
                <w:b w:val="0"/>
                <w:color w:val="auto"/>
                <w:sz w:val="22"/>
                <w:szCs w:val="22"/>
              </w:rPr>
              <w:t xml:space="preserve">and </w:t>
            </w:r>
            <w:r w:rsidR="00EC6B76" w:rsidRPr="00614845">
              <w:rPr>
                <w:rFonts w:ascii="Arial" w:hAnsi="Arial" w:cs="Arial"/>
                <w:b w:val="0"/>
                <w:color w:val="auto"/>
                <w:sz w:val="22"/>
                <w:szCs w:val="22"/>
              </w:rPr>
              <w:t>the site is adjacent a senior citizens centre</w:t>
            </w:r>
            <w:r>
              <w:rPr>
                <w:rFonts w:ascii="Arial" w:hAnsi="Arial" w:cs="Arial"/>
                <w:b w:val="0"/>
                <w:color w:val="auto"/>
                <w:sz w:val="22"/>
                <w:szCs w:val="22"/>
              </w:rPr>
              <w:t>.</w:t>
            </w:r>
          </w:p>
          <w:p w:rsidR="00C94E2F" w:rsidRPr="00C94E2F" w:rsidRDefault="00C94E2F" w:rsidP="00C94E2F">
            <w:pPr>
              <w:rPr>
                <w:rFonts w:cs="Arial"/>
                <w:b/>
                <w:szCs w:val="22"/>
              </w:rPr>
            </w:pPr>
            <w:r w:rsidRPr="00C94E2F">
              <w:rPr>
                <w:rFonts w:cs="Arial"/>
                <w:b/>
                <w:szCs w:val="22"/>
              </w:rPr>
              <w:t>B</w:t>
            </w:r>
            <w:r w:rsidR="00EC6B76" w:rsidRPr="00C94E2F">
              <w:rPr>
                <w:rFonts w:cs="Arial"/>
                <w:b/>
                <w:szCs w:val="22"/>
              </w:rPr>
              <w:t>ulk, scale and character</w:t>
            </w:r>
          </w:p>
          <w:p w:rsidR="00C94E2F" w:rsidRDefault="00EC6B76" w:rsidP="00C94E2F">
            <w:pPr>
              <w:rPr>
                <w:rFonts w:cs="Arial"/>
                <w:szCs w:val="22"/>
              </w:rPr>
            </w:pPr>
            <w:r w:rsidRPr="00614845">
              <w:rPr>
                <w:rFonts w:cs="Arial"/>
                <w:szCs w:val="22"/>
              </w:rPr>
              <w:t xml:space="preserve">The development will </w:t>
            </w:r>
            <w:r w:rsidR="00C94E2F">
              <w:rPr>
                <w:rFonts w:cs="Arial"/>
                <w:szCs w:val="22"/>
              </w:rPr>
              <w:t>provide an appropriate built form outcome, as expected for emerging and future development in the locality.</w:t>
            </w:r>
          </w:p>
          <w:p w:rsidR="00EC6B76" w:rsidRPr="00C94E2F" w:rsidRDefault="00C94E2F" w:rsidP="00C94E2F">
            <w:pPr>
              <w:rPr>
                <w:rFonts w:cs="Arial"/>
                <w:szCs w:val="22"/>
              </w:rPr>
            </w:pPr>
            <w:r>
              <w:rPr>
                <w:rFonts w:cs="Arial"/>
                <w:szCs w:val="22"/>
              </w:rPr>
              <w:t>Further, the development provides appropriate bulk and scale outcomes to the adjoining sports fields. Details of this are addressed in the main assessment report.</w:t>
            </w:r>
          </w:p>
        </w:tc>
        <w:tc>
          <w:tcPr>
            <w:tcW w:w="1843" w:type="dxa"/>
          </w:tcPr>
          <w:p w:rsidR="00EC6B76" w:rsidRDefault="002A1EC2" w:rsidP="00C94E2F">
            <w:pPr>
              <w:jc w:val="center"/>
            </w:pPr>
            <w:r>
              <w:lastRenderedPageBreak/>
              <w:t>Y</w:t>
            </w:r>
          </w:p>
        </w:tc>
      </w:tr>
      <w:tr w:rsidR="00EC6B76" w:rsidTr="005A2916">
        <w:tc>
          <w:tcPr>
            <w:tcW w:w="3544" w:type="dxa"/>
          </w:tcPr>
          <w:p w:rsidR="00EC6B76" w:rsidRDefault="002A1EC2" w:rsidP="00C94E2F">
            <w:r w:rsidRPr="00874414">
              <w:t>Clause 33</w:t>
            </w:r>
          </w:p>
          <w:p w:rsidR="00874414" w:rsidRPr="00874414" w:rsidRDefault="00874414" w:rsidP="00C94E2F">
            <w:r w:rsidRPr="00874414">
              <w:t>Neighbourhood amenity and streetscape</w:t>
            </w:r>
          </w:p>
        </w:tc>
        <w:tc>
          <w:tcPr>
            <w:tcW w:w="8505" w:type="dxa"/>
          </w:tcPr>
          <w:p w:rsidR="00874414" w:rsidRDefault="00874414" w:rsidP="00874414">
            <w:pPr>
              <w:rPr>
                <w:rFonts w:cs="Arial"/>
                <w:szCs w:val="22"/>
              </w:rPr>
            </w:pPr>
            <w:r w:rsidRPr="00614845">
              <w:rPr>
                <w:rFonts w:cs="Arial"/>
                <w:szCs w:val="22"/>
              </w:rPr>
              <w:t xml:space="preserve">The development will </w:t>
            </w:r>
            <w:r>
              <w:rPr>
                <w:rFonts w:cs="Arial"/>
                <w:szCs w:val="22"/>
              </w:rPr>
              <w:t>provide an appropriate amenity and streetscape outcomes.</w:t>
            </w:r>
          </w:p>
          <w:p w:rsidR="00EC6B76" w:rsidRDefault="00874414" w:rsidP="00874414">
            <w:r>
              <w:rPr>
                <w:rFonts w:cs="Arial"/>
                <w:szCs w:val="22"/>
              </w:rPr>
              <w:t>Details of this are addressed in the main assessment report.</w:t>
            </w:r>
          </w:p>
        </w:tc>
        <w:tc>
          <w:tcPr>
            <w:tcW w:w="1843" w:type="dxa"/>
          </w:tcPr>
          <w:p w:rsidR="00EC6B76" w:rsidRDefault="002A1EC2" w:rsidP="00C94E2F">
            <w:pPr>
              <w:jc w:val="center"/>
            </w:pPr>
            <w:r>
              <w:t>Y</w:t>
            </w:r>
          </w:p>
        </w:tc>
      </w:tr>
      <w:tr w:rsidR="00EC6B76" w:rsidTr="005A2916">
        <w:tc>
          <w:tcPr>
            <w:tcW w:w="3544" w:type="dxa"/>
          </w:tcPr>
          <w:p w:rsidR="00EC6B76" w:rsidRDefault="002A1EC2" w:rsidP="00C94E2F">
            <w:r w:rsidRPr="00874414">
              <w:t>Clause 34</w:t>
            </w:r>
          </w:p>
          <w:p w:rsidR="00874414" w:rsidRPr="00874414" w:rsidRDefault="00874414" w:rsidP="00C94E2F">
            <w:r>
              <w:t>Visual and acoustic privacy</w:t>
            </w:r>
          </w:p>
        </w:tc>
        <w:tc>
          <w:tcPr>
            <w:tcW w:w="8505" w:type="dxa"/>
          </w:tcPr>
          <w:p w:rsidR="00EC6B76" w:rsidRDefault="002A1EC2" w:rsidP="00C94E2F">
            <w:pPr>
              <w:pStyle w:val="ListParagraph"/>
              <w:spacing w:after="160"/>
              <w:ind w:left="44" w:hanging="14"/>
              <w:contextualSpacing w:val="0"/>
            </w:pPr>
            <w:r>
              <w:t>The development meets the Apartment Design Guide</w:t>
            </w:r>
            <w:r w:rsidR="00874414">
              <w:t xml:space="preserve"> (ADG)</w:t>
            </w:r>
            <w:r>
              <w:t xml:space="preserve"> requirements for acoustic and visual privacy.</w:t>
            </w:r>
          </w:p>
        </w:tc>
        <w:tc>
          <w:tcPr>
            <w:tcW w:w="1843" w:type="dxa"/>
          </w:tcPr>
          <w:p w:rsidR="00EC6B76" w:rsidRDefault="002A1EC2" w:rsidP="00C94E2F">
            <w:pPr>
              <w:jc w:val="center"/>
            </w:pPr>
            <w:r>
              <w:t>Y</w:t>
            </w:r>
          </w:p>
        </w:tc>
      </w:tr>
      <w:tr w:rsidR="002A1EC2" w:rsidTr="005A2916">
        <w:tc>
          <w:tcPr>
            <w:tcW w:w="3544" w:type="dxa"/>
          </w:tcPr>
          <w:p w:rsidR="002A1EC2" w:rsidRDefault="002A1EC2" w:rsidP="00C94E2F">
            <w:r w:rsidRPr="00874414">
              <w:t>Clause 35</w:t>
            </w:r>
          </w:p>
          <w:p w:rsidR="00874414" w:rsidRPr="00874414" w:rsidRDefault="00874414" w:rsidP="00C94E2F">
            <w:r>
              <w:t>Solar access and design for climate</w:t>
            </w:r>
          </w:p>
        </w:tc>
        <w:tc>
          <w:tcPr>
            <w:tcW w:w="8505" w:type="dxa"/>
          </w:tcPr>
          <w:p w:rsidR="002A1EC2" w:rsidRDefault="002A1EC2" w:rsidP="00874414">
            <w:pPr>
              <w:pStyle w:val="ListParagraph"/>
              <w:spacing w:after="160"/>
              <w:ind w:left="44" w:hanging="14"/>
              <w:contextualSpacing w:val="0"/>
            </w:pPr>
            <w:r>
              <w:t xml:space="preserve">The development meets the </w:t>
            </w:r>
            <w:r w:rsidR="00874414">
              <w:t>AD</w:t>
            </w:r>
            <w:r>
              <w:t>G requirements for solar access and cross ventilation.</w:t>
            </w:r>
          </w:p>
        </w:tc>
        <w:tc>
          <w:tcPr>
            <w:tcW w:w="1843" w:type="dxa"/>
          </w:tcPr>
          <w:p w:rsidR="002A1EC2" w:rsidRDefault="002A1EC2" w:rsidP="00C94E2F">
            <w:pPr>
              <w:jc w:val="center"/>
            </w:pPr>
            <w:r>
              <w:t>Y</w:t>
            </w:r>
          </w:p>
        </w:tc>
      </w:tr>
      <w:tr w:rsidR="002A1EC2" w:rsidTr="005A2916">
        <w:tc>
          <w:tcPr>
            <w:tcW w:w="3544" w:type="dxa"/>
          </w:tcPr>
          <w:p w:rsidR="002A1EC2" w:rsidRDefault="002A1EC2" w:rsidP="00C94E2F">
            <w:r w:rsidRPr="00874414">
              <w:t>Clause 36</w:t>
            </w:r>
          </w:p>
          <w:p w:rsidR="00874414" w:rsidRPr="00874414" w:rsidRDefault="00874414" w:rsidP="00C94E2F">
            <w:pPr>
              <w:rPr>
                <w:b/>
              </w:rPr>
            </w:pPr>
            <w:r>
              <w:t>Stormwater</w:t>
            </w:r>
          </w:p>
        </w:tc>
        <w:tc>
          <w:tcPr>
            <w:tcW w:w="8505" w:type="dxa"/>
          </w:tcPr>
          <w:p w:rsidR="00874414" w:rsidRDefault="00874414" w:rsidP="00874414">
            <w:pPr>
              <w:rPr>
                <w:rFonts w:cs="Arial"/>
                <w:szCs w:val="22"/>
              </w:rPr>
            </w:pPr>
            <w:r w:rsidRPr="00614845">
              <w:rPr>
                <w:rFonts w:cs="Arial"/>
                <w:szCs w:val="22"/>
              </w:rPr>
              <w:t xml:space="preserve">The development </w:t>
            </w:r>
            <w:r>
              <w:rPr>
                <w:rFonts w:cs="Arial"/>
                <w:szCs w:val="22"/>
              </w:rPr>
              <w:t>has incorporated suitable stormwater management design outcomes.</w:t>
            </w:r>
          </w:p>
          <w:p w:rsidR="002A1EC2" w:rsidRDefault="00874414" w:rsidP="00874414">
            <w:pPr>
              <w:pStyle w:val="ListParagraph"/>
              <w:spacing w:after="160"/>
              <w:ind w:left="44" w:hanging="14"/>
              <w:contextualSpacing w:val="0"/>
            </w:pPr>
            <w:r>
              <w:rPr>
                <w:rFonts w:cs="Arial"/>
                <w:szCs w:val="22"/>
              </w:rPr>
              <w:t>Details of this are addressed in the main assessment report.</w:t>
            </w:r>
          </w:p>
        </w:tc>
        <w:tc>
          <w:tcPr>
            <w:tcW w:w="1843" w:type="dxa"/>
          </w:tcPr>
          <w:p w:rsidR="002A1EC2" w:rsidRDefault="002A1EC2" w:rsidP="00C94E2F">
            <w:pPr>
              <w:jc w:val="center"/>
            </w:pPr>
            <w:r>
              <w:t>Y</w:t>
            </w:r>
          </w:p>
        </w:tc>
      </w:tr>
      <w:tr w:rsidR="002A1EC2" w:rsidTr="005A2916">
        <w:tc>
          <w:tcPr>
            <w:tcW w:w="3544" w:type="dxa"/>
          </w:tcPr>
          <w:p w:rsidR="002A1EC2" w:rsidRDefault="00614845" w:rsidP="00C94E2F">
            <w:r w:rsidRPr="00874414">
              <w:t>Clause 37</w:t>
            </w:r>
          </w:p>
          <w:p w:rsidR="00874414" w:rsidRPr="00874414" w:rsidRDefault="00874414" w:rsidP="00C94E2F">
            <w:pPr>
              <w:rPr>
                <w:b/>
              </w:rPr>
            </w:pPr>
            <w:r>
              <w:t>Crime prevention</w:t>
            </w:r>
          </w:p>
        </w:tc>
        <w:tc>
          <w:tcPr>
            <w:tcW w:w="8505" w:type="dxa"/>
          </w:tcPr>
          <w:p w:rsidR="002A1EC2" w:rsidRDefault="00874414" w:rsidP="00874414">
            <w:pPr>
              <w:pStyle w:val="ListParagraph"/>
              <w:spacing w:after="160"/>
              <w:ind w:left="0" w:firstLine="0"/>
              <w:contextualSpacing w:val="0"/>
            </w:pPr>
            <w:r>
              <w:t>T</w:t>
            </w:r>
            <w:r w:rsidR="00614845" w:rsidRPr="00253D80">
              <w:t>he</w:t>
            </w:r>
            <w:r w:rsidR="00614845">
              <w:t xml:space="preserve"> development </w:t>
            </w:r>
            <w:r w:rsidR="00FA58A3">
              <w:t xml:space="preserve">will achieve quality crime prevention outcomes through </w:t>
            </w:r>
            <w:r w:rsidR="00614845">
              <w:t>secure entry spaces</w:t>
            </w:r>
            <w:r w:rsidR="00FA58A3">
              <w:t xml:space="preserve">, </w:t>
            </w:r>
            <w:r w:rsidR="00614845">
              <w:t>overlooking of entries</w:t>
            </w:r>
            <w:r w:rsidR="00FA58A3">
              <w:t>, delineation of c</w:t>
            </w:r>
            <w:r w:rsidR="00614845">
              <w:t>ommon areas and private space</w:t>
            </w:r>
            <w:r w:rsidR="00FA58A3">
              <w:t>s, and s</w:t>
            </w:r>
            <w:r w:rsidR="00614845">
              <w:t xml:space="preserve">ecure gates </w:t>
            </w:r>
            <w:r w:rsidR="00FA58A3">
              <w:t xml:space="preserve">for </w:t>
            </w:r>
            <w:proofErr w:type="spellStart"/>
            <w:r w:rsidR="00614845">
              <w:t>estricted</w:t>
            </w:r>
            <w:proofErr w:type="spellEnd"/>
            <w:r w:rsidR="00614845">
              <w:t xml:space="preserve"> entry after hours.</w:t>
            </w:r>
          </w:p>
        </w:tc>
        <w:tc>
          <w:tcPr>
            <w:tcW w:w="1843" w:type="dxa"/>
          </w:tcPr>
          <w:p w:rsidR="002A1EC2" w:rsidRDefault="00614845" w:rsidP="00C94E2F">
            <w:pPr>
              <w:jc w:val="center"/>
            </w:pPr>
            <w:r>
              <w:t>Y</w:t>
            </w:r>
          </w:p>
        </w:tc>
      </w:tr>
      <w:tr w:rsidR="002A1EC2" w:rsidTr="005A2916">
        <w:tc>
          <w:tcPr>
            <w:tcW w:w="3544" w:type="dxa"/>
          </w:tcPr>
          <w:p w:rsidR="002A1EC2" w:rsidRDefault="00614845" w:rsidP="00C94E2F">
            <w:r w:rsidRPr="00C11B32">
              <w:t>Clause 38</w:t>
            </w:r>
          </w:p>
          <w:p w:rsidR="00C11B32" w:rsidRPr="00C11B32" w:rsidRDefault="00C11B32" w:rsidP="00C94E2F">
            <w:pPr>
              <w:rPr>
                <w:b/>
              </w:rPr>
            </w:pPr>
            <w:r>
              <w:t>Accessibility</w:t>
            </w:r>
          </w:p>
        </w:tc>
        <w:tc>
          <w:tcPr>
            <w:tcW w:w="8505" w:type="dxa"/>
          </w:tcPr>
          <w:p w:rsidR="00C11B32" w:rsidRDefault="00614845" w:rsidP="00C94E2F">
            <w:pPr>
              <w:pStyle w:val="ListParagraph"/>
              <w:spacing w:after="160"/>
              <w:ind w:left="56" w:hanging="26"/>
              <w:contextualSpacing w:val="0"/>
            </w:pPr>
            <w:r>
              <w:t xml:space="preserve">The development provides </w:t>
            </w:r>
            <w:r w:rsidR="00C11B32">
              <w:t>appropriate</w:t>
            </w:r>
            <w:r>
              <w:t xml:space="preserve"> pedestrian links</w:t>
            </w:r>
            <w:r w:rsidR="00C11B32">
              <w:t xml:space="preserve"> to both frontages</w:t>
            </w:r>
            <w:r>
              <w:t xml:space="preserve">. </w:t>
            </w:r>
          </w:p>
          <w:p w:rsidR="002A1EC2" w:rsidRDefault="00614845" w:rsidP="00C94E2F">
            <w:pPr>
              <w:pStyle w:val="ListParagraph"/>
              <w:spacing w:after="160"/>
              <w:ind w:left="56" w:hanging="26"/>
              <w:contextualSpacing w:val="0"/>
            </w:pPr>
            <w:r>
              <w:t>Public transport is available within 100m of the site.</w:t>
            </w:r>
          </w:p>
        </w:tc>
        <w:tc>
          <w:tcPr>
            <w:tcW w:w="1843" w:type="dxa"/>
          </w:tcPr>
          <w:p w:rsidR="002A1EC2" w:rsidRDefault="00614845" w:rsidP="00C94E2F">
            <w:pPr>
              <w:jc w:val="center"/>
            </w:pPr>
            <w:r>
              <w:t>Y</w:t>
            </w:r>
          </w:p>
        </w:tc>
      </w:tr>
      <w:tr w:rsidR="002A1EC2" w:rsidTr="005A2916">
        <w:tc>
          <w:tcPr>
            <w:tcW w:w="3544" w:type="dxa"/>
          </w:tcPr>
          <w:p w:rsidR="002A1EC2" w:rsidRDefault="00614845" w:rsidP="00C94E2F">
            <w:r w:rsidRPr="00C11B32">
              <w:lastRenderedPageBreak/>
              <w:t>Clause 39</w:t>
            </w:r>
          </w:p>
          <w:p w:rsidR="00C11B32" w:rsidRPr="00C11B32" w:rsidRDefault="00C11B32" w:rsidP="00C94E2F">
            <w:pPr>
              <w:rPr>
                <w:b/>
              </w:rPr>
            </w:pPr>
            <w:r>
              <w:t>Waste management</w:t>
            </w:r>
          </w:p>
        </w:tc>
        <w:tc>
          <w:tcPr>
            <w:tcW w:w="8505" w:type="dxa"/>
          </w:tcPr>
          <w:p w:rsidR="002A1EC2" w:rsidRDefault="00614845" w:rsidP="00C94E2F">
            <w:r>
              <w:t xml:space="preserve">Appropriate waste management facilities have been provided. Refer </w:t>
            </w:r>
            <w:r w:rsidR="00C11B32">
              <w:t xml:space="preserve">to </w:t>
            </w:r>
            <w:r>
              <w:t>ADG assessment.</w:t>
            </w:r>
          </w:p>
        </w:tc>
        <w:tc>
          <w:tcPr>
            <w:tcW w:w="1843" w:type="dxa"/>
          </w:tcPr>
          <w:p w:rsidR="002A1EC2" w:rsidRDefault="00614845" w:rsidP="00C94E2F">
            <w:pPr>
              <w:jc w:val="center"/>
            </w:pPr>
            <w:r>
              <w:t>Y</w:t>
            </w:r>
          </w:p>
        </w:tc>
      </w:tr>
      <w:tr w:rsidR="002A1EC2" w:rsidTr="005A2916">
        <w:tc>
          <w:tcPr>
            <w:tcW w:w="3544" w:type="dxa"/>
          </w:tcPr>
          <w:p w:rsidR="002A1EC2" w:rsidRDefault="00DE7000" w:rsidP="00C94E2F">
            <w:r w:rsidRPr="00C11B32">
              <w:t>Clause 40</w:t>
            </w:r>
          </w:p>
          <w:p w:rsidR="00C11B32" w:rsidRPr="00C11B32" w:rsidRDefault="00C11B32" w:rsidP="00C94E2F">
            <w:r>
              <w:t>Minimum sizes and building height</w:t>
            </w:r>
          </w:p>
        </w:tc>
        <w:tc>
          <w:tcPr>
            <w:tcW w:w="8505" w:type="dxa"/>
          </w:tcPr>
          <w:p w:rsidR="002A1EC2" w:rsidRDefault="00C11B32" w:rsidP="00C11B32">
            <w:r>
              <w:t>T</w:t>
            </w:r>
            <w:r w:rsidR="00DE7000">
              <w:t xml:space="preserve">he site meets the </w:t>
            </w:r>
            <w:r>
              <w:t xml:space="preserve">area and frontage </w:t>
            </w:r>
            <w:r w:rsidR="00DE7000">
              <w:t>requirements.</w:t>
            </w:r>
          </w:p>
        </w:tc>
        <w:tc>
          <w:tcPr>
            <w:tcW w:w="1843" w:type="dxa"/>
          </w:tcPr>
          <w:p w:rsidR="002A1EC2" w:rsidRDefault="00DE7000" w:rsidP="00C94E2F">
            <w:pPr>
              <w:jc w:val="center"/>
            </w:pPr>
            <w:r>
              <w:t>Y</w:t>
            </w:r>
          </w:p>
        </w:tc>
      </w:tr>
      <w:tr w:rsidR="002A1EC2" w:rsidTr="005A2916">
        <w:tc>
          <w:tcPr>
            <w:tcW w:w="3544" w:type="dxa"/>
          </w:tcPr>
          <w:p w:rsidR="002A1EC2" w:rsidRDefault="00DE7000" w:rsidP="00C94E2F">
            <w:r w:rsidRPr="00727A77">
              <w:t>Schedule 3</w:t>
            </w:r>
          </w:p>
          <w:p w:rsidR="00727A77" w:rsidRPr="00727A77" w:rsidRDefault="00727A77" w:rsidP="00C94E2F">
            <w:r w:rsidRPr="00727A77">
              <w:t>Standards concerning accessibility and useability for hostels and self-contained dwellings</w:t>
            </w:r>
          </w:p>
        </w:tc>
        <w:tc>
          <w:tcPr>
            <w:tcW w:w="8505" w:type="dxa"/>
          </w:tcPr>
          <w:p w:rsidR="00727A77" w:rsidRDefault="00727A77" w:rsidP="00DE162B">
            <w:r>
              <w:t>The development is consistent with Schedule 3 as follows:</w:t>
            </w:r>
          </w:p>
          <w:p w:rsidR="00727A77" w:rsidRDefault="00727A77" w:rsidP="00DE162B">
            <w:pPr>
              <w:pStyle w:val="ListParagraph"/>
              <w:numPr>
                <w:ilvl w:val="0"/>
                <w:numId w:val="39"/>
              </w:numPr>
              <w:spacing w:after="160"/>
              <w:contextualSpacing w:val="0"/>
            </w:pPr>
            <w:r>
              <w:t>a</w:t>
            </w:r>
            <w:r w:rsidR="00DE7000">
              <w:t>n accessible path of travel is provided to all dwellings to the adjoining roads</w:t>
            </w:r>
          </w:p>
          <w:p w:rsidR="00727A77" w:rsidRDefault="00727A77" w:rsidP="00DE162B">
            <w:pPr>
              <w:pStyle w:val="ListParagraph"/>
              <w:numPr>
                <w:ilvl w:val="0"/>
                <w:numId w:val="39"/>
              </w:numPr>
              <w:spacing w:after="160"/>
              <w:contextualSpacing w:val="0"/>
            </w:pPr>
            <w:r>
              <w:t>a</w:t>
            </w:r>
            <w:r w:rsidR="00DE7000">
              <w:t>ccess is provided to all common areas</w:t>
            </w:r>
          </w:p>
          <w:p w:rsidR="00727A77" w:rsidRDefault="00727A77" w:rsidP="00DE162B">
            <w:pPr>
              <w:pStyle w:val="ListParagraph"/>
              <w:numPr>
                <w:ilvl w:val="0"/>
                <w:numId w:val="39"/>
              </w:numPr>
              <w:spacing w:after="160"/>
              <w:contextualSpacing w:val="0"/>
            </w:pPr>
            <w:r>
              <w:t>p</w:t>
            </w:r>
            <w:r w:rsidR="00660C60">
              <w:t>athway lighting has not been specified, however is capable of compliance and could be a condition of consent if required</w:t>
            </w:r>
          </w:p>
          <w:p w:rsidR="00727A77" w:rsidRDefault="00727A77" w:rsidP="00DE162B">
            <w:pPr>
              <w:pStyle w:val="ListParagraph"/>
              <w:numPr>
                <w:ilvl w:val="0"/>
                <w:numId w:val="39"/>
              </w:numPr>
              <w:spacing w:after="160"/>
              <w:contextualSpacing w:val="0"/>
            </w:pPr>
            <w:r>
              <w:t>l</w:t>
            </w:r>
            <w:r w:rsidR="006F33BD">
              <w:t>etter boxes are accessible, able to be locked, and located adjacent the Glover Street entry</w:t>
            </w:r>
          </w:p>
          <w:p w:rsidR="00727A77" w:rsidRDefault="00727A77" w:rsidP="00DE162B">
            <w:pPr>
              <w:pStyle w:val="ListParagraph"/>
              <w:numPr>
                <w:ilvl w:val="0"/>
                <w:numId w:val="39"/>
              </w:numPr>
              <w:spacing w:after="160"/>
              <w:contextualSpacing w:val="0"/>
            </w:pPr>
            <w:r>
              <w:t>p</w:t>
            </w:r>
            <w:r w:rsidR="006F33BD">
              <w:t>arking meets accessibility standards.</w:t>
            </w:r>
            <w:r>
              <w:t xml:space="preserve"> Four </w:t>
            </w:r>
            <w:r w:rsidR="006F33BD">
              <w:t>accessible spaces are provided in the car park</w:t>
            </w:r>
            <w:r>
              <w:t>.</w:t>
            </w:r>
          </w:p>
          <w:p w:rsidR="00727A77" w:rsidRDefault="00727A77" w:rsidP="00DE162B">
            <w:pPr>
              <w:pStyle w:val="ListParagraph"/>
              <w:numPr>
                <w:ilvl w:val="0"/>
                <w:numId w:val="39"/>
              </w:numPr>
              <w:spacing w:after="160"/>
              <w:contextualSpacing w:val="0"/>
            </w:pPr>
            <w:r>
              <w:t>e</w:t>
            </w:r>
            <w:r w:rsidR="0090782B">
              <w:t xml:space="preserve">very dwelling has a door which is accessible and accessed from the internal circulation. Ground floor dwellings have rear doors with access to private open space, however these do not have ramp access beyond the POS. All other dwellings have </w:t>
            </w:r>
            <w:r w:rsidR="00DF1AD4">
              <w:t>door access to balconies. All balconies are sheltered by upper floor balconies or roofs</w:t>
            </w:r>
          </w:p>
          <w:p w:rsidR="00727A77" w:rsidRDefault="00727A77" w:rsidP="00DE162B">
            <w:pPr>
              <w:pStyle w:val="ListParagraph"/>
              <w:numPr>
                <w:ilvl w:val="0"/>
                <w:numId w:val="39"/>
              </w:numPr>
              <w:spacing w:after="160"/>
              <w:contextualSpacing w:val="0"/>
            </w:pPr>
            <w:r>
              <w:t>d</w:t>
            </w:r>
            <w:r w:rsidR="00DF1AD4">
              <w:t>oorways comply with AS1428.1</w:t>
            </w:r>
            <w:r>
              <w:t xml:space="preserve"> and i</w:t>
            </w:r>
            <w:r w:rsidR="00DF1AD4">
              <w:t>nternal circulation exceeds 1000mm.</w:t>
            </w:r>
          </w:p>
          <w:p w:rsidR="00727A77" w:rsidRDefault="00727A77" w:rsidP="00DE162B">
            <w:pPr>
              <w:pStyle w:val="ListParagraph"/>
              <w:numPr>
                <w:ilvl w:val="0"/>
                <w:numId w:val="39"/>
              </w:numPr>
              <w:spacing w:after="160"/>
              <w:contextualSpacing w:val="0"/>
            </w:pPr>
            <w:r>
              <w:t>w</w:t>
            </w:r>
            <w:r w:rsidR="00DF1AD4">
              <w:t>ardrobes, beds and clearances are demonstrated on the plans. Power, telecommunications and wiring are capable of compliance</w:t>
            </w:r>
          </w:p>
          <w:p w:rsidR="00727A77" w:rsidRDefault="00727A77" w:rsidP="00DE162B">
            <w:pPr>
              <w:pStyle w:val="ListParagraph"/>
              <w:numPr>
                <w:ilvl w:val="0"/>
                <w:numId w:val="39"/>
              </w:numPr>
              <w:spacing w:after="160"/>
              <w:contextualSpacing w:val="0"/>
            </w:pPr>
            <w:r>
              <w:t>b</w:t>
            </w:r>
            <w:r w:rsidR="00DF1AD4">
              <w:t>athrooms are capable of compliance</w:t>
            </w:r>
          </w:p>
          <w:p w:rsidR="00727A77" w:rsidRDefault="00727A77" w:rsidP="00DE162B">
            <w:pPr>
              <w:pStyle w:val="ListParagraph"/>
              <w:numPr>
                <w:ilvl w:val="0"/>
                <w:numId w:val="39"/>
              </w:numPr>
              <w:spacing w:after="160"/>
              <w:contextualSpacing w:val="0"/>
            </w:pPr>
            <w:r>
              <w:t>a</w:t>
            </w:r>
            <w:r w:rsidR="00DF1AD4">
              <w:t>ll dwellings are single floor</w:t>
            </w:r>
            <w:r>
              <w:t xml:space="preserve"> design</w:t>
            </w:r>
          </w:p>
          <w:p w:rsidR="00727A77" w:rsidRDefault="00727A77" w:rsidP="00DE162B">
            <w:pPr>
              <w:pStyle w:val="ListParagraph"/>
              <w:numPr>
                <w:ilvl w:val="0"/>
                <w:numId w:val="39"/>
              </w:numPr>
              <w:spacing w:after="160"/>
              <w:contextualSpacing w:val="0"/>
            </w:pPr>
            <w:r>
              <w:lastRenderedPageBreak/>
              <w:t>s</w:t>
            </w:r>
            <w:r w:rsidR="00DF1AD4">
              <w:t>lip resistance is capable of compliance</w:t>
            </w:r>
          </w:p>
          <w:p w:rsidR="00727A77" w:rsidRDefault="00727A77" w:rsidP="00DE162B">
            <w:pPr>
              <w:pStyle w:val="ListParagraph"/>
              <w:numPr>
                <w:ilvl w:val="0"/>
                <w:numId w:val="39"/>
              </w:numPr>
              <w:spacing w:after="160"/>
              <w:contextualSpacing w:val="0"/>
            </w:pPr>
            <w:r>
              <w:t>d</w:t>
            </w:r>
            <w:r w:rsidR="00DF1AD4">
              <w:t>oor hardware is capable of compliance</w:t>
            </w:r>
          </w:p>
          <w:p w:rsidR="00727A77" w:rsidRDefault="00727A77" w:rsidP="00DE162B">
            <w:pPr>
              <w:pStyle w:val="ListParagraph"/>
              <w:numPr>
                <w:ilvl w:val="0"/>
                <w:numId w:val="39"/>
              </w:numPr>
              <w:spacing w:after="160"/>
              <w:contextualSpacing w:val="0"/>
            </w:pPr>
            <w:r>
              <w:t>a</w:t>
            </w:r>
            <w:r w:rsidR="00DF1AD4">
              <w:t>ncillary items are capable of compliance</w:t>
            </w:r>
          </w:p>
          <w:p w:rsidR="00727A77" w:rsidRDefault="00727A77" w:rsidP="00DE162B">
            <w:pPr>
              <w:pStyle w:val="ListParagraph"/>
              <w:numPr>
                <w:ilvl w:val="0"/>
                <w:numId w:val="39"/>
              </w:numPr>
              <w:spacing w:after="160"/>
              <w:contextualSpacing w:val="0"/>
            </w:pPr>
            <w:r>
              <w:t>p</w:t>
            </w:r>
            <w:r w:rsidR="00DF1AD4">
              <w:t>lans demonstrate circulation compliance with typical furniture layouts. Telecommunications and wiring are capable of compliance</w:t>
            </w:r>
          </w:p>
          <w:p w:rsidR="00727A77" w:rsidRDefault="00727A77" w:rsidP="00DE162B">
            <w:pPr>
              <w:pStyle w:val="ListParagraph"/>
              <w:numPr>
                <w:ilvl w:val="0"/>
                <w:numId w:val="39"/>
              </w:numPr>
              <w:spacing w:after="160"/>
              <w:contextualSpacing w:val="0"/>
            </w:pPr>
            <w:r>
              <w:t>c</w:t>
            </w:r>
            <w:r w:rsidR="00DF1AD4">
              <w:t>irculation is demonstrated on the plans. Kitchen design is capable of compliance</w:t>
            </w:r>
          </w:p>
          <w:p w:rsidR="00727A77" w:rsidRDefault="00727A77" w:rsidP="00DE162B">
            <w:pPr>
              <w:pStyle w:val="ListParagraph"/>
              <w:numPr>
                <w:ilvl w:val="0"/>
                <w:numId w:val="39"/>
              </w:numPr>
              <w:spacing w:after="160"/>
              <w:contextualSpacing w:val="0"/>
            </w:pPr>
            <w:r>
              <w:t>l</w:t>
            </w:r>
            <w:r w:rsidR="00600873">
              <w:t>ifts are provided</w:t>
            </w:r>
          </w:p>
          <w:p w:rsidR="00727A77" w:rsidRDefault="00727A77" w:rsidP="00DE162B">
            <w:pPr>
              <w:pStyle w:val="ListParagraph"/>
              <w:numPr>
                <w:ilvl w:val="0"/>
                <w:numId w:val="39"/>
              </w:numPr>
              <w:spacing w:after="160"/>
              <w:contextualSpacing w:val="0"/>
            </w:pPr>
            <w:r>
              <w:t>c</w:t>
            </w:r>
            <w:r w:rsidR="00600873">
              <w:t>irculation to laundries is demonstrated on the plans. Other matters are capable of compliance</w:t>
            </w:r>
          </w:p>
          <w:p w:rsidR="00727A77" w:rsidRDefault="00727A77" w:rsidP="00DE162B">
            <w:pPr>
              <w:pStyle w:val="ListParagraph"/>
              <w:numPr>
                <w:ilvl w:val="0"/>
                <w:numId w:val="39"/>
              </w:numPr>
              <w:spacing w:after="160"/>
              <w:contextualSpacing w:val="0"/>
            </w:pPr>
            <w:r>
              <w:t>l</w:t>
            </w:r>
            <w:r w:rsidR="00600873">
              <w:t>inen stores are included in dwellings</w:t>
            </w:r>
          </w:p>
          <w:p w:rsidR="002A1EC2" w:rsidRDefault="00727A77" w:rsidP="00DE162B">
            <w:pPr>
              <w:pStyle w:val="ListParagraph"/>
              <w:numPr>
                <w:ilvl w:val="0"/>
                <w:numId w:val="39"/>
              </w:numPr>
              <w:spacing w:after="160"/>
              <w:contextualSpacing w:val="0"/>
            </w:pPr>
            <w:r>
              <w:t>g</w:t>
            </w:r>
            <w:r w:rsidR="00600873">
              <w:t>arbage is disposed of by chutes located on each level near the core.</w:t>
            </w:r>
          </w:p>
        </w:tc>
        <w:tc>
          <w:tcPr>
            <w:tcW w:w="1843" w:type="dxa"/>
          </w:tcPr>
          <w:p w:rsidR="002A1EC2" w:rsidRDefault="00600873" w:rsidP="00C94E2F">
            <w:pPr>
              <w:jc w:val="center"/>
            </w:pPr>
            <w:r>
              <w:lastRenderedPageBreak/>
              <w:t>Y</w:t>
            </w:r>
          </w:p>
        </w:tc>
      </w:tr>
    </w:tbl>
    <w:p w:rsidR="00EC6B76" w:rsidRPr="009F7C3A" w:rsidRDefault="00EC6B76" w:rsidP="00C94E2F"/>
    <w:sectPr w:rsidR="00EC6B76" w:rsidRPr="009F7C3A" w:rsidSect="00C94E2F">
      <w:footerReference w:type="first" r:id="rId7"/>
      <w:pgSz w:w="16838" w:h="11906" w:orient="landscape"/>
      <w:pgMar w:top="1701" w:right="1440" w:bottom="1440" w:left="1701" w:header="567" w:footer="567"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94C" w:rsidRDefault="00B9294C" w:rsidP="00493096">
      <w:pPr>
        <w:spacing w:after="0"/>
      </w:pPr>
      <w:r>
        <w:separator/>
      </w:r>
    </w:p>
  </w:endnote>
  <w:endnote w:type="continuationSeparator" w:id="0">
    <w:p w:rsidR="00B9294C" w:rsidRDefault="00B9294C"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827897"/>
      <w:docPartObj>
        <w:docPartGallery w:val="Page Numbers (Bottom of Page)"/>
        <w:docPartUnique/>
      </w:docPartObj>
    </w:sdtPr>
    <w:sdtEndPr>
      <w:rPr>
        <w:noProof/>
      </w:rPr>
    </w:sdtEndPr>
    <w:sdtContent>
      <w:p w:rsidR="00362559" w:rsidRDefault="00362559" w:rsidP="00362559">
        <w:pPr>
          <w:pStyle w:val="Footer"/>
        </w:pPr>
      </w:p>
      <w:sdt>
        <w:sdtPr>
          <w:id w:val="1403416265"/>
          <w:docPartObj>
            <w:docPartGallery w:val="Page Numbers (Bottom of Page)"/>
            <w:docPartUnique/>
          </w:docPartObj>
        </w:sdtPr>
        <w:sdtEndPr>
          <w:rPr>
            <w:noProof/>
          </w:rPr>
        </w:sdtEndPr>
        <w:sdtContent>
          <w:p w:rsidR="00362559" w:rsidRPr="00412BD4" w:rsidRDefault="00362559" w:rsidP="00362559">
            <w:pPr>
              <w:pStyle w:val="Footer"/>
              <w:rPr>
                <w:i w:val="0"/>
              </w:rPr>
            </w:pPr>
            <w:r w:rsidRPr="00412BD4">
              <w:t xml:space="preserve">Page | </w:t>
            </w:r>
            <w:r w:rsidRPr="00412BD4">
              <w:rPr>
                <w:i w:val="0"/>
              </w:rPr>
              <w:fldChar w:fldCharType="begin"/>
            </w:r>
            <w:r w:rsidRPr="00412BD4">
              <w:instrText xml:space="preserve"> PAGE   \* MERGEFORMAT </w:instrText>
            </w:r>
            <w:r w:rsidRPr="00412BD4">
              <w:rPr>
                <w:i w:val="0"/>
              </w:rPr>
              <w:fldChar w:fldCharType="separate"/>
            </w:r>
            <w:r>
              <w:rPr>
                <w:i w:val="0"/>
              </w:rPr>
              <w:t>5</w:t>
            </w:r>
            <w:r w:rsidRPr="00412BD4">
              <w:rPr>
                <w:i w:val="0"/>
                <w:noProof/>
              </w:rPr>
              <w:fldChar w:fldCharType="end"/>
            </w:r>
            <w:r w:rsidRPr="00412BD4">
              <w:rPr>
                <w:noProof/>
              </w:rPr>
              <w:tab/>
            </w:r>
            <w:r>
              <w:rPr>
                <w:noProof/>
              </w:rPr>
              <w:t xml:space="preserve">        </w:t>
            </w:r>
            <w:r>
              <w:rPr>
                <w:noProof/>
              </w:rPr>
              <w:tab/>
              <w:t xml:space="preserve"> </w:t>
            </w:r>
            <w:r>
              <w:rPr>
                <w:rFonts w:cs="Arial"/>
                <w:sz w:val="20"/>
                <w:szCs w:val="20"/>
              </w:rPr>
              <w:t xml:space="preserve">Attachment </w:t>
            </w:r>
            <w:r>
              <w:rPr>
                <w:rFonts w:cs="Arial"/>
                <w:sz w:val="20"/>
                <w:szCs w:val="20"/>
              </w:rPr>
              <w:t>C</w:t>
            </w:r>
            <w:r w:rsidRPr="00412BD4">
              <w:rPr>
                <w:rFonts w:cs="Arial"/>
                <w:sz w:val="20"/>
                <w:szCs w:val="20"/>
              </w:rPr>
              <w:t xml:space="preserve">: </w:t>
            </w:r>
            <w:r>
              <w:rPr>
                <w:rFonts w:cs="Arial"/>
                <w:sz w:val="20"/>
                <w:szCs w:val="20"/>
              </w:rPr>
              <w:t>SEPP Seniors</w:t>
            </w:r>
            <w:r>
              <w:rPr>
                <w:rFonts w:cs="Arial"/>
                <w:sz w:val="20"/>
                <w:szCs w:val="20"/>
              </w:rPr>
              <w:t xml:space="preserve"> compliance - </w:t>
            </w:r>
            <w:r w:rsidRPr="00412BD4">
              <w:rPr>
                <w:rFonts w:cs="Arial"/>
                <w:sz w:val="20"/>
                <w:szCs w:val="20"/>
              </w:rPr>
              <w:t xml:space="preserve">DA/2294/2021 – 2A Maude Street, Belmont      </w:t>
            </w:r>
            <w:r>
              <w:rPr>
                <w:rFonts w:cs="Arial"/>
                <w:sz w:val="20"/>
                <w:szCs w:val="20"/>
              </w:rPr>
              <w:tab/>
            </w:r>
            <w:r>
              <w:rPr>
                <w:rFonts w:cs="Arial"/>
                <w:sz w:val="20"/>
                <w:szCs w:val="20"/>
              </w:rPr>
              <w:tab/>
            </w:r>
            <w:r>
              <w:rPr>
                <w:rFonts w:cs="Arial"/>
                <w:sz w:val="20"/>
                <w:szCs w:val="20"/>
              </w:rPr>
              <w:tab/>
            </w:r>
            <w:r w:rsidRPr="00412BD4">
              <w:rPr>
                <w:rFonts w:cs="Arial"/>
                <w:sz w:val="20"/>
                <w:szCs w:val="20"/>
              </w:rPr>
              <w:t>Date: 27 April 2022</w:t>
            </w:r>
            <w:r w:rsidRPr="00412BD4">
              <w:rPr>
                <w:rFonts w:cs="Arial"/>
                <w:sz w:val="20"/>
                <w:szCs w:val="20"/>
              </w:rPr>
              <w:tab/>
            </w:r>
          </w:p>
          <w:p w:rsidR="00C94E2F" w:rsidRDefault="00362559" w:rsidP="00362559">
            <w:pPr>
              <w:pStyle w:val="Footer"/>
              <w:jc w:val="right"/>
            </w:pPr>
          </w:p>
        </w:sdtContent>
      </w:sdt>
    </w:sdtContent>
  </w:sdt>
  <w:p w:rsidR="00C94E2F" w:rsidRDefault="00C94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94C" w:rsidRDefault="00B9294C" w:rsidP="00493096">
      <w:pPr>
        <w:spacing w:after="0"/>
      </w:pPr>
      <w:r>
        <w:separator/>
      </w:r>
    </w:p>
  </w:footnote>
  <w:footnote w:type="continuationSeparator" w:id="0">
    <w:p w:rsidR="00B9294C" w:rsidRDefault="00B9294C"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6730"/>
    <w:multiLevelType w:val="hybridMultilevel"/>
    <w:tmpl w:val="AECC59AE"/>
    <w:lvl w:ilvl="0" w:tplc="6E8A0820">
      <w:start w:val="2"/>
      <w:numFmt w:val="decimal"/>
      <w:lvlText w:val="%1."/>
      <w:lvlJc w:val="left"/>
      <w:pPr>
        <w:ind w:left="9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2" w15:restartNumberingAfterBreak="0">
    <w:nsid w:val="0B7A78A4"/>
    <w:multiLevelType w:val="hybridMultilevel"/>
    <w:tmpl w:val="05225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CE236A"/>
    <w:multiLevelType w:val="hybridMultilevel"/>
    <w:tmpl w:val="886065CA"/>
    <w:lvl w:ilvl="0" w:tplc="8DC8BE34">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18DE2B54"/>
    <w:multiLevelType w:val="hybridMultilevel"/>
    <w:tmpl w:val="C9CAEF78"/>
    <w:lvl w:ilvl="0" w:tplc="DB247D16">
      <w:start w:val="15"/>
      <w:numFmt w:val="decimal"/>
      <w:lvlText w:val="%1."/>
      <w:lvlJc w:val="left"/>
      <w:pPr>
        <w:ind w:left="739" w:hanging="360"/>
      </w:pPr>
      <w:rPr>
        <w:rFonts w:hint="default"/>
      </w:rPr>
    </w:lvl>
    <w:lvl w:ilvl="1" w:tplc="0C090019" w:tentative="1">
      <w:start w:val="1"/>
      <w:numFmt w:val="lowerLetter"/>
      <w:lvlText w:val="%2."/>
      <w:lvlJc w:val="left"/>
      <w:pPr>
        <w:ind w:left="1249" w:hanging="360"/>
      </w:pPr>
    </w:lvl>
    <w:lvl w:ilvl="2" w:tplc="0C09001B" w:tentative="1">
      <w:start w:val="1"/>
      <w:numFmt w:val="lowerRoman"/>
      <w:lvlText w:val="%3."/>
      <w:lvlJc w:val="right"/>
      <w:pPr>
        <w:ind w:left="1969" w:hanging="180"/>
      </w:pPr>
    </w:lvl>
    <w:lvl w:ilvl="3" w:tplc="0C09000F" w:tentative="1">
      <w:start w:val="1"/>
      <w:numFmt w:val="decimal"/>
      <w:lvlText w:val="%4."/>
      <w:lvlJc w:val="left"/>
      <w:pPr>
        <w:ind w:left="2689" w:hanging="360"/>
      </w:pPr>
    </w:lvl>
    <w:lvl w:ilvl="4" w:tplc="0C090019" w:tentative="1">
      <w:start w:val="1"/>
      <w:numFmt w:val="lowerLetter"/>
      <w:lvlText w:val="%5."/>
      <w:lvlJc w:val="left"/>
      <w:pPr>
        <w:ind w:left="3409" w:hanging="360"/>
      </w:pPr>
    </w:lvl>
    <w:lvl w:ilvl="5" w:tplc="0C09001B" w:tentative="1">
      <w:start w:val="1"/>
      <w:numFmt w:val="lowerRoman"/>
      <w:lvlText w:val="%6."/>
      <w:lvlJc w:val="right"/>
      <w:pPr>
        <w:ind w:left="4129" w:hanging="180"/>
      </w:pPr>
    </w:lvl>
    <w:lvl w:ilvl="6" w:tplc="0C09000F" w:tentative="1">
      <w:start w:val="1"/>
      <w:numFmt w:val="decimal"/>
      <w:lvlText w:val="%7."/>
      <w:lvlJc w:val="left"/>
      <w:pPr>
        <w:ind w:left="4849" w:hanging="360"/>
      </w:pPr>
    </w:lvl>
    <w:lvl w:ilvl="7" w:tplc="0C090019" w:tentative="1">
      <w:start w:val="1"/>
      <w:numFmt w:val="lowerLetter"/>
      <w:lvlText w:val="%8."/>
      <w:lvlJc w:val="left"/>
      <w:pPr>
        <w:ind w:left="5569" w:hanging="360"/>
      </w:pPr>
    </w:lvl>
    <w:lvl w:ilvl="8" w:tplc="0C09001B" w:tentative="1">
      <w:start w:val="1"/>
      <w:numFmt w:val="lowerRoman"/>
      <w:lvlText w:val="%9."/>
      <w:lvlJc w:val="right"/>
      <w:pPr>
        <w:ind w:left="6289" w:hanging="180"/>
      </w:pPr>
    </w:lvl>
  </w:abstractNum>
  <w:abstractNum w:abstractNumId="5" w15:restartNumberingAfterBreak="0">
    <w:nsid w:val="390C4565"/>
    <w:multiLevelType w:val="hybridMultilevel"/>
    <w:tmpl w:val="F552F380"/>
    <w:lvl w:ilvl="0" w:tplc="C108FD7E">
      <w:start w:val="4"/>
      <w:numFmt w:val="decimal"/>
      <w:lvlText w:val="(%1)"/>
      <w:lvlJc w:val="left"/>
      <w:pPr>
        <w:ind w:left="9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8"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9350FB7"/>
    <w:multiLevelType w:val="hybridMultilevel"/>
    <w:tmpl w:val="30F23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C5D5468"/>
    <w:multiLevelType w:val="hybridMultilevel"/>
    <w:tmpl w:val="DA5216CC"/>
    <w:lvl w:ilvl="0" w:tplc="3F540996">
      <w:start w:val="2"/>
      <w:numFmt w:val="decimal"/>
      <w:lvlText w:val="(%1)"/>
      <w:lvlJc w:val="left"/>
      <w:pPr>
        <w:ind w:left="9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1"/>
  </w:num>
  <w:num w:numId="6">
    <w:abstractNumId w:val="10"/>
  </w:num>
  <w:num w:numId="7">
    <w:abstractNumId w:val="8"/>
  </w:num>
  <w:num w:numId="8">
    <w:abstractNumId w:val="6"/>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1"/>
  </w:num>
  <w:num w:numId="22">
    <w:abstractNumId w:val="10"/>
  </w:num>
  <w:num w:numId="23">
    <w:abstractNumId w:val="8"/>
  </w:num>
  <w:num w:numId="24">
    <w:abstractNumId w:val="6"/>
  </w:num>
  <w:num w:numId="25">
    <w:abstractNumId w:val="7"/>
  </w:num>
  <w:num w:numId="26">
    <w:abstractNumId w:val="7"/>
  </w:num>
  <w:num w:numId="27">
    <w:abstractNumId w:val="7"/>
  </w:num>
  <w:num w:numId="28">
    <w:abstractNumId w:val="7"/>
  </w:num>
  <w:num w:numId="29">
    <w:abstractNumId w:val="1"/>
  </w:num>
  <w:num w:numId="30">
    <w:abstractNumId w:val="10"/>
  </w:num>
  <w:num w:numId="31">
    <w:abstractNumId w:val="8"/>
  </w:num>
  <w:num w:numId="32">
    <w:abstractNumId w:val="6"/>
  </w:num>
  <w:num w:numId="33">
    <w:abstractNumId w:val="2"/>
  </w:num>
  <w:num w:numId="34">
    <w:abstractNumId w:val="3"/>
  </w:num>
  <w:num w:numId="35">
    <w:abstractNumId w:val="11"/>
  </w:num>
  <w:num w:numId="36">
    <w:abstractNumId w:val="5"/>
  </w:num>
  <w:num w:numId="37">
    <w:abstractNumId w:val="0"/>
  </w:num>
  <w:num w:numId="38">
    <w:abstractNumId w:val="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WithLetterhead" w:val="True"/>
  </w:docVars>
  <w:rsids>
    <w:rsidRoot w:val="00EC6B76"/>
    <w:rsid w:val="00042236"/>
    <w:rsid w:val="00057070"/>
    <w:rsid w:val="00057F1D"/>
    <w:rsid w:val="000D08A5"/>
    <w:rsid w:val="000D1CE9"/>
    <w:rsid w:val="000D7183"/>
    <w:rsid w:val="000E045F"/>
    <w:rsid w:val="000E0F23"/>
    <w:rsid w:val="000E477E"/>
    <w:rsid w:val="000E61BF"/>
    <w:rsid w:val="000F4CC6"/>
    <w:rsid w:val="00112123"/>
    <w:rsid w:val="001230B3"/>
    <w:rsid w:val="00132236"/>
    <w:rsid w:val="001333E6"/>
    <w:rsid w:val="0015675E"/>
    <w:rsid w:val="0016189F"/>
    <w:rsid w:val="00167169"/>
    <w:rsid w:val="001A16D5"/>
    <w:rsid w:val="001C28AD"/>
    <w:rsid w:val="001C5115"/>
    <w:rsid w:val="00215A6F"/>
    <w:rsid w:val="002331EE"/>
    <w:rsid w:val="00241430"/>
    <w:rsid w:val="00255BA4"/>
    <w:rsid w:val="00264C91"/>
    <w:rsid w:val="002A1EC2"/>
    <w:rsid w:val="002F55EA"/>
    <w:rsid w:val="002F72F0"/>
    <w:rsid w:val="00312E01"/>
    <w:rsid w:val="003409A9"/>
    <w:rsid w:val="00362559"/>
    <w:rsid w:val="003731A5"/>
    <w:rsid w:val="00376B2C"/>
    <w:rsid w:val="00380E6D"/>
    <w:rsid w:val="00385918"/>
    <w:rsid w:val="003A16F2"/>
    <w:rsid w:val="003A5502"/>
    <w:rsid w:val="003C7115"/>
    <w:rsid w:val="003F1F9B"/>
    <w:rsid w:val="004121B8"/>
    <w:rsid w:val="00416663"/>
    <w:rsid w:val="0047093E"/>
    <w:rsid w:val="00471CEA"/>
    <w:rsid w:val="0047210F"/>
    <w:rsid w:val="00483878"/>
    <w:rsid w:val="00491184"/>
    <w:rsid w:val="00493096"/>
    <w:rsid w:val="00493E71"/>
    <w:rsid w:val="004947B1"/>
    <w:rsid w:val="004B407E"/>
    <w:rsid w:val="004C095E"/>
    <w:rsid w:val="004C4688"/>
    <w:rsid w:val="00501604"/>
    <w:rsid w:val="005059B2"/>
    <w:rsid w:val="005152BA"/>
    <w:rsid w:val="00566FB6"/>
    <w:rsid w:val="00572921"/>
    <w:rsid w:val="00587F92"/>
    <w:rsid w:val="00597228"/>
    <w:rsid w:val="005A2916"/>
    <w:rsid w:val="005C5DDE"/>
    <w:rsid w:val="006004DA"/>
    <w:rsid w:val="00600873"/>
    <w:rsid w:val="00612B19"/>
    <w:rsid w:val="00612B48"/>
    <w:rsid w:val="00614845"/>
    <w:rsid w:val="00660C60"/>
    <w:rsid w:val="00687208"/>
    <w:rsid w:val="006968C1"/>
    <w:rsid w:val="006B16EF"/>
    <w:rsid w:val="006D7440"/>
    <w:rsid w:val="006E5492"/>
    <w:rsid w:val="006E6B61"/>
    <w:rsid w:val="006F33BD"/>
    <w:rsid w:val="007226D1"/>
    <w:rsid w:val="00727A77"/>
    <w:rsid w:val="00782256"/>
    <w:rsid w:val="007940E5"/>
    <w:rsid w:val="007B6EED"/>
    <w:rsid w:val="007D1926"/>
    <w:rsid w:val="007D3D38"/>
    <w:rsid w:val="007E5C31"/>
    <w:rsid w:val="007E7F47"/>
    <w:rsid w:val="00874414"/>
    <w:rsid w:val="00884891"/>
    <w:rsid w:val="008A48FD"/>
    <w:rsid w:val="008B2044"/>
    <w:rsid w:val="008B5891"/>
    <w:rsid w:val="008F7C2A"/>
    <w:rsid w:val="009004F9"/>
    <w:rsid w:val="009047F6"/>
    <w:rsid w:val="0090782B"/>
    <w:rsid w:val="00987B30"/>
    <w:rsid w:val="009A6F2C"/>
    <w:rsid w:val="009C3D13"/>
    <w:rsid w:val="009D1CCD"/>
    <w:rsid w:val="009F7C3A"/>
    <w:rsid w:val="00A270C3"/>
    <w:rsid w:val="00A50DB0"/>
    <w:rsid w:val="00A64771"/>
    <w:rsid w:val="00A650A1"/>
    <w:rsid w:val="00A719AF"/>
    <w:rsid w:val="00A87295"/>
    <w:rsid w:val="00A96FF7"/>
    <w:rsid w:val="00AA393B"/>
    <w:rsid w:val="00AB36DB"/>
    <w:rsid w:val="00B112DD"/>
    <w:rsid w:val="00B31237"/>
    <w:rsid w:val="00B34819"/>
    <w:rsid w:val="00B7207F"/>
    <w:rsid w:val="00B82A1C"/>
    <w:rsid w:val="00B9294C"/>
    <w:rsid w:val="00BA49E2"/>
    <w:rsid w:val="00BF2FF5"/>
    <w:rsid w:val="00BF3AC1"/>
    <w:rsid w:val="00C11B32"/>
    <w:rsid w:val="00C11F69"/>
    <w:rsid w:val="00C14974"/>
    <w:rsid w:val="00C20221"/>
    <w:rsid w:val="00C51B5E"/>
    <w:rsid w:val="00C52980"/>
    <w:rsid w:val="00C56868"/>
    <w:rsid w:val="00C63A2F"/>
    <w:rsid w:val="00C674DB"/>
    <w:rsid w:val="00C94387"/>
    <w:rsid w:val="00C94E2F"/>
    <w:rsid w:val="00CA0B46"/>
    <w:rsid w:val="00CA4064"/>
    <w:rsid w:val="00CA6E7B"/>
    <w:rsid w:val="00CF4F24"/>
    <w:rsid w:val="00D40483"/>
    <w:rsid w:val="00D507C0"/>
    <w:rsid w:val="00D60853"/>
    <w:rsid w:val="00D92B16"/>
    <w:rsid w:val="00DC04F3"/>
    <w:rsid w:val="00DD3B7A"/>
    <w:rsid w:val="00DE162B"/>
    <w:rsid w:val="00DE7000"/>
    <w:rsid w:val="00DF1AD4"/>
    <w:rsid w:val="00E219DB"/>
    <w:rsid w:val="00E43F12"/>
    <w:rsid w:val="00E50373"/>
    <w:rsid w:val="00E557A5"/>
    <w:rsid w:val="00E710A9"/>
    <w:rsid w:val="00E820D7"/>
    <w:rsid w:val="00E860DF"/>
    <w:rsid w:val="00E9250E"/>
    <w:rsid w:val="00EC6B76"/>
    <w:rsid w:val="00ED4025"/>
    <w:rsid w:val="00F130D5"/>
    <w:rsid w:val="00F13E1C"/>
    <w:rsid w:val="00F80E44"/>
    <w:rsid w:val="00F95692"/>
    <w:rsid w:val="00FA432E"/>
    <w:rsid w:val="00FA58A3"/>
    <w:rsid w:val="00FC0427"/>
    <w:rsid w:val="00FC0826"/>
    <w:rsid w:val="00FC4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601A4"/>
  <w14:discardImageEditingData/>
  <w15:chartTrackingRefBased/>
  <w15:docId w15:val="{CBF5E451-52D7-45E4-9AF3-0D387B5B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13E1C"/>
    <w:pPr>
      <w:spacing w:after="160"/>
      <w:ind w:left="0" w:firstLine="0"/>
    </w:pPr>
    <w:rPr>
      <w:szCs w:val="24"/>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uiPriority w:val="99"/>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28"/>
      </w:numPr>
      <w:spacing w:before="120" w:after="240"/>
    </w:pPr>
  </w:style>
  <w:style w:type="paragraph" w:customStyle="1" w:styleId="NoHeading2">
    <w:name w:val="No Heading 2"/>
    <w:basedOn w:val="Heading2"/>
    <w:next w:val="Normal"/>
    <w:qFormat/>
    <w:rsid w:val="00DD3B7A"/>
    <w:pPr>
      <w:numPr>
        <w:ilvl w:val="1"/>
        <w:numId w:val="28"/>
      </w:numPr>
    </w:pPr>
    <w:rPr>
      <w:szCs w:val="20"/>
    </w:rPr>
  </w:style>
  <w:style w:type="paragraph" w:customStyle="1" w:styleId="NoHeading3">
    <w:name w:val="No Heading 3"/>
    <w:basedOn w:val="Heading3"/>
    <w:next w:val="Normal"/>
    <w:qFormat/>
    <w:rsid w:val="00DD3B7A"/>
    <w:pPr>
      <w:numPr>
        <w:ilvl w:val="2"/>
        <w:numId w:val="28"/>
      </w:numPr>
    </w:pPr>
  </w:style>
  <w:style w:type="paragraph" w:customStyle="1" w:styleId="NoHeading4">
    <w:name w:val="No Heading 4"/>
    <w:basedOn w:val="Heading4"/>
    <w:next w:val="Normal"/>
    <w:qFormat/>
    <w:rsid w:val="00DD3B7A"/>
    <w:pPr>
      <w:numPr>
        <w:ilvl w:val="3"/>
        <w:numId w:val="28"/>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9"/>
      </w:numPr>
    </w:pPr>
    <w:rPr>
      <w:rFonts w:ascii="Arial Bold" w:hAnsi="Arial Bold"/>
      <w:b/>
    </w:rPr>
  </w:style>
  <w:style w:type="paragraph" w:customStyle="1" w:styleId="PathwayCondNo">
    <w:name w:val="PathwayCondNo"/>
    <w:basedOn w:val="Normal"/>
    <w:next w:val="Normal"/>
    <w:rsid w:val="00DD3B7A"/>
    <w:pPr>
      <w:numPr>
        <w:numId w:val="30"/>
      </w:numPr>
    </w:pPr>
    <w:rPr>
      <w:rFonts w:cs="Arial"/>
      <w:b/>
    </w:rPr>
  </w:style>
  <w:style w:type="paragraph" w:customStyle="1" w:styleId="PathwayCondNo1">
    <w:name w:val="PathwayCondNo1"/>
    <w:basedOn w:val="PathwayCondNo"/>
    <w:next w:val="Normal"/>
    <w:rsid w:val="00DD3B7A"/>
    <w:pPr>
      <w:numPr>
        <w:numId w:val="31"/>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32"/>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qFormat/>
    <w:rsid w:val="004C4688"/>
    <w:pPr>
      <w:spacing w:after="60"/>
      <w:ind w:left="851" w:hanging="284"/>
      <w:contextualSpacing/>
    </w:pPr>
  </w:style>
  <w:style w:type="character" w:customStyle="1" w:styleId="FooterChar">
    <w:name w:val="Footer Char"/>
    <w:basedOn w:val="DefaultParagraphFont"/>
    <w:link w:val="Footer"/>
    <w:uiPriority w:val="99"/>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paragraph" w:customStyle="1" w:styleId="FigureCaption">
    <w:name w:val="Figure_Caption"/>
    <w:basedOn w:val="Caption"/>
    <w:link w:val="FigureCaptionChar"/>
    <w:qFormat/>
    <w:rsid w:val="00EC6B76"/>
    <w:pPr>
      <w:spacing w:before="280"/>
      <w:ind w:left="680"/>
      <w:jc w:val="center"/>
    </w:pPr>
    <w:rPr>
      <w:rFonts w:asciiTheme="minorHAnsi" w:eastAsiaTheme="minorEastAsia" w:hAnsiTheme="minorHAnsi" w:cstheme="minorBidi"/>
      <w:b/>
      <w:i w:val="0"/>
      <w:sz w:val="20"/>
      <w:lang w:val="en-GB" w:eastAsia="zh-CN"/>
    </w:rPr>
  </w:style>
  <w:style w:type="character" w:customStyle="1" w:styleId="FigureCaptionChar">
    <w:name w:val="Figure_Caption Char"/>
    <w:basedOn w:val="DefaultParagraphFont"/>
    <w:link w:val="FigureCaption"/>
    <w:rsid w:val="00EC6B76"/>
    <w:rPr>
      <w:rFonts w:asciiTheme="minorHAnsi" w:eastAsiaTheme="minorEastAsia" w:hAnsiTheme="minorHAnsi" w:cstheme="minorBidi"/>
      <w:b/>
      <w:iCs/>
      <w:color w:val="1F497D" w:themeColor="text2"/>
      <w:sz w:val="20"/>
      <w:szCs w:val="18"/>
      <w:lang w:val="en-GB" w:eastAsia="zh-CN"/>
    </w:rPr>
  </w:style>
  <w:style w:type="paragraph" w:styleId="Caption">
    <w:name w:val="caption"/>
    <w:basedOn w:val="Normal"/>
    <w:next w:val="Normal"/>
    <w:semiHidden/>
    <w:unhideWhenUsed/>
    <w:qFormat/>
    <w:rsid w:val="00EC6B7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718</Words>
  <Characters>4060</Characters>
  <Application>Microsoft Office Word</Application>
  <DocSecurity>0</DocSecurity>
  <Lines>130</Lines>
  <Paragraphs>103</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Keech</dc:creator>
  <cp:keywords/>
  <dc:description/>
  <cp:lastModifiedBy>Amy Regado</cp:lastModifiedBy>
  <cp:revision>9</cp:revision>
  <cp:lastPrinted>2020-01-17T05:21:00Z</cp:lastPrinted>
  <dcterms:created xsi:type="dcterms:W3CDTF">2022-04-29T03:32:00Z</dcterms:created>
  <dcterms:modified xsi:type="dcterms:W3CDTF">2022-04-30T02:27:00Z</dcterms:modified>
</cp:coreProperties>
</file>